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AB029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8" o:title="Изображение 028_герб"/>
          </v:shape>
        </w:pic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12 ноября</w:t>
      </w:r>
      <w:r w:rsidRPr="00695EE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>
        <w:rPr>
          <w:b/>
          <w:sz w:val="28"/>
          <w:szCs w:val="28"/>
        </w:rPr>
        <w:t xml:space="preserve"> </w:t>
      </w:r>
      <w:r w:rsidRPr="005B67F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 xml:space="preserve">,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270F9" w:rsidRPr="005B67F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1.Утвердить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201</w:t>
      </w:r>
      <w:r w:rsidR="00AB0294">
        <w:rPr>
          <w:sz w:val="28"/>
          <w:szCs w:val="28"/>
        </w:rPr>
        <w:t>8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20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согласно приложению. </w:t>
      </w:r>
    </w:p>
    <w:p w:rsidR="00416E4D" w:rsidRPr="005B67F4" w:rsidRDefault="00416E4D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2. </w:t>
      </w:r>
      <w:r w:rsidR="00EF7DE8">
        <w:rPr>
          <w:sz w:val="28"/>
          <w:szCs w:val="28"/>
        </w:rPr>
        <w:t>Разместить настоящее П</w:t>
      </w:r>
      <w:r w:rsidRPr="005B67F4">
        <w:rPr>
          <w:sz w:val="28"/>
          <w:szCs w:val="28"/>
        </w:rPr>
        <w:t xml:space="preserve">остановление на официальном </w:t>
      </w:r>
      <w:proofErr w:type="gramStart"/>
      <w:r w:rsidRPr="005B67F4">
        <w:rPr>
          <w:sz w:val="28"/>
          <w:szCs w:val="28"/>
        </w:rPr>
        <w:t>сайте</w:t>
      </w:r>
      <w:proofErr w:type="gramEnd"/>
      <w:r w:rsidRPr="005B67F4">
        <w:rPr>
          <w:sz w:val="28"/>
          <w:szCs w:val="28"/>
        </w:rPr>
        <w:t xml:space="preserve"> </w:t>
      </w:r>
      <w:r w:rsidR="00AB0294">
        <w:rPr>
          <w:sz w:val="28"/>
          <w:szCs w:val="28"/>
        </w:rPr>
        <w:t>Декабристского</w:t>
      </w:r>
      <w:r w:rsidR="00F843C1">
        <w:rPr>
          <w:sz w:val="28"/>
          <w:szCs w:val="28"/>
        </w:rPr>
        <w:t xml:space="preserve"> муниципального образования</w:t>
      </w:r>
      <w:r w:rsidRPr="005B67F4">
        <w:rPr>
          <w:sz w:val="28"/>
          <w:szCs w:val="28"/>
        </w:rPr>
        <w:t xml:space="preserve"> в сети «Интернет»</w:t>
      </w:r>
      <w:r w:rsidR="00EF7DE8">
        <w:rPr>
          <w:sz w:val="28"/>
          <w:szCs w:val="28"/>
        </w:rPr>
        <w:t xml:space="preserve">, ответственный </w:t>
      </w:r>
      <w:r w:rsidR="005156E1">
        <w:rPr>
          <w:sz w:val="28"/>
          <w:szCs w:val="28"/>
        </w:rPr>
        <w:t xml:space="preserve">главный специалист администрации </w:t>
      </w:r>
      <w:r w:rsidR="00AB0294">
        <w:rPr>
          <w:sz w:val="28"/>
          <w:szCs w:val="28"/>
        </w:rPr>
        <w:t>Декабристского</w:t>
      </w:r>
      <w:r w:rsidR="005156E1">
        <w:rPr>
          <w:sz w:val="28"/>
          <w:szCs w:val="28"/>
        </w:rPr>
        <w:t xml:space="preserve"> МО </w:t>
      </w:r>
      <w:r w:rsidR="00AB0294">
        <w:rPr>
          <w:sz w:val="28"/>
          <w:szCs w:val="28"/>
        </w:rPr>
        <w:t>Телегина В.А</w:t>
      </w:r>
      <w:r w:rsidRPr="005B67F4">
        <w:rPr>
          <w:sz w:val="28"/>
          <w:szCs w:val="28"/>
        </w:rPr>
        <w:t>.</w:t>
      </w:r>
    </w:p>
    <w:p w:rsidR="005270F9" w:rsidRPr="005B67F4" w:rsidRDefault="00EF7DE8" w:rsidP="00AB029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270F9" w:rsidRPr="005B67F4">
        <w:rPr>
          <w:sz w:val="28"/>
          <w:szCs w:val="28"/>
        </w:rPr>
        <w:t xml:space="preserve">возложить на </w:t>
      </w:r>
      <w:r w:rsidR="00416E4D" w:rsidRPr="005B67F4">
        <w:rPr>
          <w:sz w:val="28"/>
          <w:szCs w:val="28"/>
        </w:rPr>
        <w:t>заместителя главы администрации</w:t>
      </w:r>
      <w:r w:rsidR="005270F9" w:rsidRPr="005B67F4">
        <w:rPr>
          <w:sz w:val="28"/>
          <w:szCs w:val="28"/>
        </w:rPr>
        <w:t xml:space="preserve"> </w:t>
      </w:r>
      <w:r w:rsidR="00AB0294">
        <w:rPr>
          <w:sz w:val="28"/>
          <w:szCs w:val="28"/>
        </w:rPr>
        <w:t>Декабристского</w:t>
      </w:r>
      <w:r w:rsidR="005270F9" w:rsidRPr="005B67F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416E4D" w:rsidRPr="005B67F4">
        <w:rPr>
          <w:sz w:val="28"/>
          <w:szCs w:val="28"/>
        </w:rPr>
        <w:t xml:space="preserve"> </w:t>
      </w:r>
      <w:r w:rsidR="00AB0294">
        <w:rPr>
          <w:sz w:val="28"/>
          <w:szCs w:val="28"/>
        </w:rPr>
        <w:t>Рыхлову И.М</w:t>
      </w:r>
      <w:r w:rsidR="005270F9" w:rsidRPr="005B67F4">
        <w:rPr>
          <w:sz w:val="28"/>
          <w:szCs w:val="28"/>
        </w:rPr>
        <w:t>.</w:t>
      </w:r>
    </w:p>
    <w:p w:rsidR="00BB583C" w:rsidRPr="005B67F4" w:rsidRDefault="00BB583C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4.Настоящее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Pr="005B67F4">
        <w:rPr>
          <w:sz w:val="28"/>
          <w:szCs w:val="28"/>
        </w:rPr>
        <w:t>.</w:t>
      </w:r>
    </w:p>
    <w:p w:rsidR="005270F9" w:rsidRPr="005B67F4" w:rsidRDefault="005270F9" w:rsidP="00AB0294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029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B029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B0294">
        <w:rPr>
          <w:sz w:val="28"/>
          <w:szCs w:val="28"/>
        </w:rPr>
        <w:t>8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B0294">
        <w:rPr>
          <w:sz w:val="28"/>
          <w:szCs w:val="28"/>
        </w:rPr>
        <w:t>38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 xml:space="preserve">-хозяйственного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4B29C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FFFF00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  <w:lang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  <w:lang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  <w:lang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  <w:lang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  <w:lang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  <w:lang/>
              </w:rPr>
              <w:t>52</w:t>
            </w:r>
            <w:r w:rsidR="008D33C6">
              <w:rPr>
                <w:rFonts w:cs="Tahoma"/>
                <w:sz w:val="28"/>
                <w:szCs w:val="28"/>
                <w:lang/>
              </w:rPr>
              <w:t>,</w:t>
            </w:r>
            <w:r w:rsidR="00330E12">
              <w:rPr>
                <w:rFonts w:cs="Tahoma"/>
                <w:sz w:val="28"/>
                <w:szCs w:val="28"/>
                <w:lang/>
              </w:rPr>
              <w:t>1</w:t>
            </w:r>
            <w:r w:rsidR="008D33C6">
              <w:rPr>
                <w:rFonts w:cs="Tahoma"/>
                <w:sz w:val="28"/>
                <w:szCs w:val="28"/>
                <w:lang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  <w:lang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  <w:lang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  <w:lang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  <w:lang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  <w:lang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  <w:lang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  <w:lang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  <w:lang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  <w:lang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  <w:lang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  <w:lang/>
              </w:rPr>
              <w:t>5</w:t>
            </w:r>
            <w:r w:rsidRPr="00675243">
              <w:rPr>
                <w:rFonts w:cs="Tahoma"/>
                <w:sz w:val="28"/>
                <w:szCs w:val="28"/>
                <w:lang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  <w:lang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  <w:lang/>
              </w:rPr>
              <w:t>5</w:t>
            </w:r>
            <w:r w:rsidRPr="00675243">
              <w:rPr>
                <w:rFonts w:cs="Tahoma"/>
                <w:sz w:val="28"/>
                <w:szCs w:val="28"/>
                <w:lang/>
              </w:rPr>
              <w:t xml:space="preserve"> тыс</w:t>
            </w:r>
            <w:r>
              <w:rPr>
                <w:rFonts w:cs="Tahoma"/>
                <w:sz w:val="28"/>
                <w:szCs w:val="28"/>
                <w:lang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электро-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 xml:space="preserve">проблем граждан России. Без принятия срочных мер на государственном </w:t>
      </w:r>
      <w:proofErr w:type="gramStart"/>
      <w:r w:rsidRPr="001551B0">
        <w:rPr>
          <w:sz w:val="28"/>
          <w:szCs w:val="28"/>
        </w:rPr>
        <w:t>уровне</w:t>
      </w:r>
      <w:proofErr w:type="gramEnd"/>
      <w:r w:rsidRPr="001551B0">
        <w:rPr>
          <w:sz w:val="28"/>
          <w:szCs w:val="28"/>
        </w:rPr>
        <w:t xml:space="preserve">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proofErr w:type="gramStart"/>
      <w:r w:rsidRPr="001551B0">
        <w:rPr>
          <w:sz w:val="28"/>
          <w:szCs w:val="28"/>
        </w:rPr>
        <w:t>гарантированное</w:t>
      </w:r>
      <w:proofErr w:type="gramEnd"/>
      <w:r w:rsidRPr="001551B0">
        <w:rPr>
          <w:sz w:val="28"/>
          <w:szCs w:val="28"/>
        </w:rPr>
        <w:t xml:space="preserve">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98234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982343">
        <w:rPr>
          <w:sz w:val="28"/>
          <w:szCs w:val="28"/>
          <w:highlight w:val="yellow"/>
        </w:rPr>
        <w:t>снижение</w:t>
      </w:r>
      <w:r w:rsidR="00307C9C" w:rsidRPr="00982343">
        <w:rPr>
          <w:sz w:val="28"/>
          <w:szCs w:val="28"/>
          <w:highlight w:val="yellow"/>
        </w:rPr>
        <w:t xml:space="preserve"> затрат на предоставление услуг;</w:t>
      </w:r>
    </w:p>
    <w:p w:rsidR="00D24769" w:rsidRPr="00982343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2343">
        <w:rPr>
          <w:rFonts w:ascii="Times New Roman" w:hAnsi="Times New Roman" w:cs="Times New Roman"/>
          <w:sz w:val="28"/>
          <w:szCs w:val="28"/>
          <w:highlight w:val="yellow"/>
        </w:rPr>
        <w:t>обеспеченность населения централизованными услугами водоснабжения, с 69</w:t>
      </w:r>
      <w:r w:rsidRPr="00BC21C0">
        <w:rPr>
          <w:rFonts w:ascii="Times New Roman" w:hAnsi="Times New Roman" w:cs="Times New Roman"/>
          <w:sz w:val="28"/>
          <w:szCs w:val="28"/>
        </w:rPr>
        <w:t xml:space="preserve"> </w:t>
      </w:r>
      <w:r w:rsidRPr="00982343">
        <w:rPr>
          <w:rFonts w:ascii="Times New Roman" w:hAnsi="Times New Roman" w:cs="Times New Roman"/>
          <w:sz w:val="28"/>
          <w:szCs w:val="28"/>
          <w:highlight w:val="yellow"/>
        </w:rPr>
        <w:t>процентов в 2015 году до 88,3 процентов в 2020 году;</w:t>
      </w:r>
    </w:p>
    <w:p w:rsidR="00D24769" w:rsidRPr="00982343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обеспеченность населения централизованными услугами водоотведения, с 54 процентов в 2015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343">
        <w:rPr>
          <w:sz w:val="28"/>
          <w:szCs w:val="28"/>
          <w:highlight w:val="yellow"/>
        </w:rPr>
        <w:t>Св</w:t>
      </w:r>
      <w:r w:rsidR="00CC2D70" w:rsidRPr="00982343">
        <w:rPr>
          <w:sz w:val="28"/>
          <w:szCs w:val="28"/>
          <w:highlight w:val="yellow"/>
        </w:rPr>
        <w:t xml:space="preserve">едения о целевых показателях </w:t>
      </w:r>
      <w:r w:rsidRPr="00982343">
        <w:rPr>
          <w:sz w:val="28"/>
          <w:szCs w:val="28"/>
          <w:highlight w:val="yellow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982343" w:rsidRDefault="00CC2D70" w:rsidP="00350E2A">
      <w:pPr>
        <w:ind w:firstLine="567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Раздел 6. </w:t>
      </w:r>
      <w:proofErr w:type="gramStart"/>
      <w:r w:rsidR="005270F9" w:rsidRPr="003F069F">
        <w:rPr>
          <w:b/>
          <w:bCs/>
          <w:sz w:val="28"/>
          <w:szCs w:val="28"/>
        </w:rPr>
        <w:t>Финансовое</w:t>
      </w:r>
      <w:proofErr w:type="gramEnd"/>
      <w:r w:rsidR="005270F9" w:rsidRPr="003F069F">
        <w:rPr>
          <w:b/>
          <w:bCs/>
          <w:sz w:val="28"/>
          <w:szCs w:val="28"/>
        </w:rPr>
        <w:t xml:space="preserve"> обеспечение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3F069F">
        <w:rPr>
          <w:b/>
          <w:bCs/>
          <w:sz w:val="28"/>
          <w:szCs w:val="28"/>
        </w:rPr>
        <w:t xml:space="preserve"> </w:t>
      </w:r>
      <w:r w:rsidR="005270F9" w:rsidRPr="00982343">
        <w:rPr>
          <w:b/>
          <w:bCs/>
          <w:sz w:val="28"/>
          <w:szCs w:val="28"/>
          <w:highlight w:val="yellow"/>
        </w:rPr>
        <w:t>программы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 xml:space="preserve">Объем финансового обеспечения на реализацию муниципальной программы на 2017-2020 годы составляет </w:t>
      </w:r>
      <w:r w:rsidRPr="00982343">
        <w:rPr>
          <w:rFonts w:cs="Tahoma"/>
          <w:b/>
          <w:bCs/>
          <w:sz w:val="28"/>
          <w:szCs w:val="28"/>
          <w:highlight w:val="yellow"/>
          <w:lang/>
        </w:rPr>
        <w:t>984,8</w:t>
      </w:r>
      <w:r w:rsidRPr="00982343">
        <w:rPr>
          <w:sz w:val="28"/>
          <w:szCs w:val="28"/>
          <w:highlight w:val="yellow"/>
        </w:rPr>
        <w:t xml:space="preserve"> тыс. рублей в том числе: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 xml:space="preserve">2017 год – </w:t>
      </w:r>
      <w:r w:rsidRPr="00982343">
        <w:rPr>
          <w:rFonts w:cs="Tahoma"/>
          <w:b/>
          <w:bCs/>
          <w:sz w:val="28"/>
          <w:szCs w:val="28"/>
          <w:highlight w:val="yellow"/>
          <w:lang/>
        </w:rPr>
        <w:t>684,8</w:t>
      </w:r>
      <w:r w:rsidRPr="00982343">
        <w:rPr>
          <w:sz w:val="28"/>
          <w:szCs w:val="28"/>
          <w:highlight w:val="yellow"/>
        </w:rPr>
        <w:t>. тыс. 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2018 год – 100,0 тыс. 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2019 год – 100,0 тыс. 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2020 год – 100,0 тыс. рублей из них: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областной бюджет (</w:t>
      </w:r>
      <w:proofErr w:type="spellStart"/>
      <w:r w:rsidRPr="00982343">
        <w:rPr>
          <w:sz w:val="28"/>
          <w:szCs w:val="28"/>
          <w:highlight w:val="yellow"/>
        </w:rPr>
        <w:t>прогнозно</w:t>
      </w:r>
      <w:proofErr w:type="spellEnd"/>
      <w:r w:rsidRPr="00982343">
        <w:rPr>
          <w:sz w:val="28"/>
          <w:szCs w:val="28"/>
          <w:highlight w:val="yellow"/>
        </w:rPr>
        <w:t xml:space="preserve">) – </w:t>
      </w:r>
      <w:r w:rsidRPr="00982343">
        <w:rPr>
          <w:rFonts w:cs="Tahoma"/>
          <w:sz w:val="28"/>
          <w:szCs w:val="28"/>
          <w:highlight w:val="yellow"/>
          <w:lang/>
        </w:rPr>
        <w:t xml:space="preserve">632,8 тыс. </w:t>
      </w:r>
      <w:r w:rsidRPr="00982343">
        <w:rPr>
          <w:sz w:val="28"/>
          <w:szCs w:val="28"/>
          <w:highlight w:val="yellow"/>
        </w:rPr>
        <w:t>рублей, в том числе: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 xml:space="preserve">2017 год – </w:t>
      </w:r>
      <w:r w:rsidRPr="00982343">
        <w:rPr>
          <w:rFonts w:cs="Tahoma"/>
          <w:sz w:val="28"/>
          <w:szCs w:val="28"/>
          <w:highlight w:val="yellow"/>
          <w:lang/>
        </w:rPr>
        <w:t xml:space="preserve">632,8 тыс. </w:t>
      </w:r>
      <w:r w:rsidRPr="00982343">
        <w:rPr>
          <w:sz w:val="28"/>
          <w:szCs w:val="28"/>
          <w:highlight w:val="yellow"/>
        </w:rPr>
        <w:t>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2018 год – 0,0 тыс. 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2019 год – 0,0 тыс. 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2020 год – 0,0 тыс. рублей.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Местный бюджет (</w:t>
      </w:r>
      <w:proofErr w:type="spellStart"/>
      <w:r w:rsidRPr="00982343">
        <w:rPr>
          <w:sz w:val="28"/>
          <w:szCs w:val="28"/>
          <w:highlight w:val="yellow"/>
        </w:rPr>
        <w:t>прогнозно</w:t>
      </w:r>
      <w:proofErr w:type="spellEnd"/>
      <w:r w:rsidRPr="00982343">
        <w:rPr>
          <w:sz w:val="28"/>
          <w:szCs w:val="28"/>
          <w:highlight w:val="yellow"/>
        </w:rPr>
        <w:t>) 3</w:t>
      </w:r>
      <w:r w:rsidRPr="00982343">
        <w:rPr>
          <w:rFonts w:cs="Tahoma"/>
          <w:sz w:val="28"/>
          <w:szCs w:val="28"/>
          <w:highlight w:val="yellow"/>
          <w:lang/>
        </w:rPr>
        <w:t xml:space="preserve">52,1 тыс. </w:t>
      </w:r>
      <w:r w:rsidRPr="00982343">
        <w:rPr>
          <w:sz w:val="28"/>
          <w:szCs w:val="28"/>
          <w:highlight w:val="yellow"/>
        </w:rPr>
        <w:t>рублей, в том числе: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 xml:space="preserve">2017 год – </w:t>
      </w:r>
      <w:r w:rsidRPr="00982343">
        <w:rPr>
          <w:rFonts w:cs="Tahoma"/>
          <w:sz w:val="28"/>
          <w:szCs w:val="28"/>
          <w:highlight w:val="yellow"/>
          <w:lang/>
        </w:rPr>
        <w:t xml:space="preserve">52,0 тыс. </w:t>
      </w:r>
      <w:r w:rsidRPr="00982343">
        <w:rPr>
          <w:sz w:val="28"/>
          <w:szCs w:val="28"/>
          <w:highlight w:val="yellow"/>
        </w:rPr>
        <w:t>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2018 год – 100,0 тыс. 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2019 год – 100,0 тыс</w:t>
      </w:r>
      <w:proofErr w:type="gramStart"/>
      <w:r w:rsidRPr="00982343">
        <w:rPr>
          <w:sz w:val="28"/>
          <w:szCs w:val="28"/>
          <w:highlight w:val="yellow"/>
        </w:rPr>
        <w:t>.р</w:t>
      </w:r>
      <w:proofErr w:type="gramEnd"/>
      <w:r w:rsidRPr="00982343">
        <w:rPr>
          <w:sz w:val="28"/>
          <w:szCs w:val="28"/>
          <w:highlight w:val="yellow"/>
        </w:rPr>
        <w:t>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2020 год – 100,0 тыс</w:t>
      </w:r>
      <w:proofErr w:type="gramStart"/>
      <w:r w:rsidRPr="00982343">
        <w:rPr>
          <w:sz w:val="28"/>
          <w:szCs w:val="28"/>
          <w:highlight w:val="yellow"/>
        </w:rPr>
        <w:t>.р</w:t>
      </w:r>
      <w:proofErr w:type="gramEnd"/>
      <w:r w:rsidRPr="00982343">
        <w:rPr>
          <w:sz w:val="28"/>
          <w:szCs w:val="28"/>
          <w:highlight w:val="yellow"/>
        </w:rPr>
        <w:t xml:space="preserve">ублей </w:t>
      </w:r>
      <w:r w:rsidRPr="00982343">
        <w:rPr>
          <w:b/>
          <w:sz w:val="28"/>
          <w:szCs w:val="28"/>
          <w:highlight w:val="yellow"/>
        </w:rPr>
        <w:t>из них</w:t>
      </w:r>
      <w:r w:rsidRPr="00982343">
        <w:rPr>
          <w:sz w:val="28"/>
          <w:szCs w:val="28"/>
          <w:highlight w:val="yellow"/>
        </w:rPr>
        <w:t>: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rFonts w:cs="Tahoma"/>
          <w:sz w:val="28"/>
          <w:szCs w:val="28"/>
          <w:highlight w:val="yellow"/>
          <w:lang/>
        </w:rPr>
        <w:t>Безвозмездные поступления от организаций и других внебюджетных источников</w:t>
      </w:r>
      <w:r w:rsidRPr="00982343">
        <w:rPr>
          <w:sz w:val="28"/>
          <w:szCs w:val="28"/>
          <w:highlight w:val="yellow"/>
        </w:rPr>
        <w:t xml:space="preserve"> (</w:t>
      </w:r>
      <w:proofErr w:type="spellStart"/>
      <w:r w:rsidRPr="00982343">
        <w:rPr>
          <w:sz w:val="28"/>
          <w:szCs w:val="28"/>
          <w:highlight w:val="yellow"/>
        </w:rPr>
        <w:t>прогнозно</w:t>
      </w:r>
      <w:proofErr w:type="spellEnd"/>
      <w:r w:rsidRPr="00982343">
        <w:rPr>
          <w:sz w:val="28"/>
          <w:szCs w:val="28"/>
          <w:highlight w:val="yellow"/>
        </w:rPr>
        <w:t xml:space="preserve">) </w:t>
      </w:r>
      <w:r w:rsidR="006F38C3" w:rsidRPr="00982343">
        <w:rPr>
          <w:rFonts w:cs="Tahoma"/>
          <w:sz w:val="28"/>
          <w:szCs w:val="28"/>
          <w:highlight w:val="yellow"/>
          <w:lang/>
        </w:rPr>
        <w:t>13,5</w:t>
      </w:r>
      <w:r w:rsidRPr="00982343">
        <w:rPr>
          <w:rFonts w:cs="Tahoma"/>
          <w:sz w:val="28"/>
          <w:szCs w:val="28"/>
          <w:highlight w:val="yellow"/>
          <w:lang/>
        </w:rPr>
        <w:t xml:space="preserve"> тыс. </w:t>
      </w:r>
      <w:r w:rsidRPr="00982343">
        <w:rPr>
          <w:sz w:val="28"/>
          <w:szCs w:val="28"/>
          <w:highlight w:val="yellow"/>
        </w:rPr>
        <w:t>рублей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 xml:space="preserve">2017 год – </w:t>
      </w:r>
      <w:r w:rsidR="00186351" w:rsidRPr="00982343">
        <w:rPr>
          <w:rFonts w:cs="Tahoma"/>
          <w:sz w:val="28"/>
          <w:szCs w:val="28"/>
          <w:highlight w:val="yellow"/>
          <w:lang/>
        </w:rPr>
        <w:t>13,5</w:t>
      </w:r>
      <w:r w:rsidRPr="00982343">
        <w:rPr>
          <w:rFonts w:cs="Tahoma"/>
          <w:color w:val="FF0000"/>
          <w:sz w:val="28"/>
          <w:szCs w:val="28"/>
          <w:highlight w:val="yellow"/>
          <w:lang/>
        </w:rPr>
        <w:t xml:space="preserve"> </w:t>
      </w:r>
      <w:r w:rsidRPr="00982343">
        <w:rPr>
          <w:rFonts w:cs="Tahoma"/>
          <w:sz w:val="28"/>
          <w:szCs w:val="28"/>
          <w:highlight w:val="yellow"/>
          <w:lang/>
        </w:rPr>
        <w:t xml:space="preserve">тыс. </w:t>
      </w:r>
      <w:r w:rsidRPr="00982343">
        <w:rPr>
          <w:sz w:val="28"/>
          <w:szCs w:val="28"/>
          <w:highlight w:val="yellow"/>
        </w:rPr>
        <w:t>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2018 год – 0 тыс. рублей;</w:t>
      </w:r>
    </w:p>
    <w:p w:rsidR="00936416" w:rsidRPr="00982343" w:rsidRDefault="00936416" w:rsidP="00936416">
      <w:pPr>
        <w:ind w:left="34"/>
        <w:jc w:val="both"/>
        <w:rPr>
          <w:sz w:val="28"/>
          <w:szCs w:val="28"/>
          <w:highlight w:val="yellow"/>
        </w:rPr>
      </w:pPr>
      <w:r w:rsidRPr="00982343">
        <w:rPr>
          <w:sz w:val="28"/>
          <w:szCs w:val="28"/>
          <w:highlight w:val="yellow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982343">
        <w:rPr>
          <w:sz w:val="28"/>
          <w:szCs w:val="28"/>
          <w:highlight w:val="yellow"/>
        </w:rPr>
        <w:t>2020 год – 0 тыс. рублей</w:t>
      </w:r>
      <w:r w:rsidR="005C1505" w:rsidRPr="00982343">
        <w:rPr>
          <w:sz w:val="28"/>
          <w:szCs w:val="28"/>
          <w:highlight w:val="yellow"/>
        </w:rPr>
        <w:t xml:space="preserve">. </w:t>
      </w:r>
      <w:r w:rsidR="005270F9" w:rsidRPr="00982343">
        <w:rPr>
          <w:sz w:val="28"/>
          <w:szCs w:val="28"/>
          <w:highlight w:val="yellow"/>
        </w:rPr>
        <w:t>Сведения об объемах и исто</w:t>
      </w:r>
      <w:r w:rsidR="00D86D76" w:rsidRPr="00982343">
        <w:rPr>
          <w:sz w:val="28"/>
          <w:szCs w:val="28"/>
          <w:highlight w:val="yellow"/>
        </w:rPr>
        <w:t xml:space="preserve">чниках финансового обеспечения </w:t>
      </w:r>
      <w:r w:rsidR="005270F9" w:rsidRPr="00982343">
        <w:rPr>
          <w:sz w:val="28"/>
          <w:szCs w:val="28"/>
          <w:highlight w:val="yellow"/>
        </w:rPr>
        <w:t>приведены в приложе</w:t>
      </w:r>
      <w:r w:rsidR="00CC2D70" w:rsidRPr="00982343">
        <w:rPr>
          <w:sz w:val="28"/>
          <w:szCs w:val="28"/>
          <w:highlight w:val="yellow"/>
        </w:rPr>
        <w:t xml:space="preserve">нии </w:t>
      </w:r>
      <w:r w:rsidR="005270F9" w:rsidRPr="00982343">
        <w:rPr>
          <w:sz w:val="28"/>
          <w:szCs w:val="28"/>
          <w:highlight w:val="yellow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неполным освоением выделенных денежных средств в </w:t>
      </w:r>
      <w:proofErr w:type="gramStart"/>
      <w:r w:rsidRPr="001551B0">
        <w:rPr>
          <w:sz w:val="28"/>
          <w:szCs w:val="28"/>
        </w:rPr>
        <w:t>финансовый</w:t>
      </w:r>
      <w:proofErr w:type="gramEnd"/>
      <w:r w:rsidRPr="001551B0">
        <w:rPr>
          <w:sz w:val="28"/>
          <w:szCs w:val="28"/>
        </w:rPr>
        <w:t xml:space="preserve">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Администрация Декабристского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безвозмездном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бактериально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C1644">
        <w:rPr>
          <w:rFonts w:ascii="Times New Roman" w:hAnsi="Times New Roman" w:cs="Times New Roman"/>
          <w:sz w:val="28"/>
          <w:szCs w:val="28"/>
        </w:rPr>
        <w:t>составляет 1,567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 за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  <w:proofErr w:type="gramEnd"/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Декабристского муниципального образования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тыс.руб.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75,0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75,0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350,0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350,0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>Итого  1,567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46" w:rsidRDefault="00E74D46" w:rsidP="007D3BDD">
      <w:r>
        <w:separator/>
      </w:r>
    </w:p>
  </w:endnote>
  <w:endnote w:type="continuationSeparator" w:id="0">
    <w:p w:rsidR="00E74D46" w:rsidRDefault="00E74D46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46" w:rsidRDefault="00E74D46" w:rsidP="007D3BDD">
      <w:r>
        <w:separator/>
      </w:r>
    </w:p>
  </w:footnote>
  <w:footnote w:type="continuationSeparator" w:id="0">
    <w:p w:rsidR="00E74D46" w:rsidRDefault="00E74D46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aWN1sBuvQPNJQa5z2GFLMHj9NXQ/demnP6qQUrnLBiA=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ZhsCyKGfnoL5+gyHdCLejeLatsJ1XeiQxWL8b41FVv5gcEgwyBhlXY1faqT2gHDuLYJ21BFi
    V7TL8OMadWhMgg==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UykVNRGBAMOjFrVPYgYUsQZSeUU=</DigestValue>
      </Reference>
      <Reference URI="/word/document.xml?ContentType=application/vnd.openxmlformats-officedocument.wordprocessingml.document.main+xml">
        <DigestMethod Algorithm="http://www.w3.org/2000/09/xmldsig#sha1"/>
        <DigestValue>vlKxfu0XuHrqWbESo2sa1BrQF9s=</DigestValue>
      </Reference>
      <Reference URI="/word/endnotes.xml?ContentType=application/vnd.openxmlformats-officedocument.wordprocessingml.endnotes+xml">
        <DigestMethod Algorithm="http://www.w3.org/2000/09/xmldsig#sha1"/>
        <DigestValue>jqFiQTJSpjy3w+yuqfSuXviNQ/g=</DigestValue>
      </Reference>
      <Reference URI="/word/fontTable.xml?ContentType=application/vnd.openxmlformats-officedocument.wordprocessingml.fontTable+xml">
        <DigestMethod Algorithm="http://www.w3.org/2000/09/xmldsig#sha1"/>
        <DigestValue>6L1EKjf+CIOA4xUVOgaBBpUFNVk=</DigestValue>
      </Reference>
      <Reference URI="/word/footnotes.xml?ContentType=application/vnd.openxmlformats-officedocument.wordprocessingml.footnotes+xml">
        <DigestMethod Algorithm="http://www.w3.org/2000/09/xmldsig#sha1"/>
        <DigestValue>z1k55D73WXiO5ERbi7HNRH60fcs=</DigestValue>
      </Reference>
      <Reference URI="/word/header1.xml?ContentType=application/vnd.openxmlformats-officedocument.wordprocessingml.header+xml">
        <DigestMethod Algorithm="http://www.w3.org/2000/09/xmldsig#sha1"/>
        <DigestValue>n1YLVwEoLWSNNDMaSz8dbTq4D+0=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2NlnP6/8WMoloMg0r5wwjSCYOM4=</DigestValue>
      </Reference>
      <Reference URI="/word/settings.xml?ContentType=application/vnd.openxmlformats-officedocument.wordprocessingml.settings+xml">
        <DigestMethod Algorithm="http://www.w3.org/2000/09/xmldsig#sha1"/>
        <DigestValue>2pvpONyCeHZjgN5UCNMEjQLdUeU=</DigestValue>
      </Reference>
      <Reference URI="/word/styles.xml?ContentType=application/vnd.openxmlformats-officedocument.wordprocessingml.styles+xml">
        <DigestMethod Algorithm="http://www.w3.org/2000/09/xmldsig#sha1"/>
        <DigestValue>bQqh3XOKkH+GsivElvbAl+hoUqI=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0vdgTuqTpXLp9yJafTBLRHo2Y2Q=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C1AF-D63F-472F-AD9F-FDF557F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2017-09-01T11:18:00Z</cp:lastPrinted>
  <dcterms:created xsi:type="dcterms:W3CDTF">2018-11-14T05:21:00Z</dcterms:created>
  <dcterms:modified xsi:type="dcterms:W3CDTF">2018-11-14T05:21:00Z</dcterms:modified>
</cp:coreProperties>
</file>